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FB" w:rsidRPr="00530EFB" w:rsidRDefault="00F61DC4" w:rsidP="00530EF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30EFB" w:rsidRPr="00530EFB">
        <w:rPr>
          <w:rFonts w:ascii="Times New Roman" w:eastAsia="Calibri" w:hAnsi="Times New Roman" w:cs="Times New Roman"/>
          <w:sz w:val="28"/>
          <w:szCs w:val="28"/>
        </w:rPr>
        <w:t>Політика про конфлікт інтересів</w:t>
      </w:r>
    </w:p>
    <w:p w:rsidR="00530EFB" w:rsidRPr="00530EFB" w:rsidRDefault="00530EFB" w:rsidP="00530EF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530EFB" w:rsidRPr="00530EFB" w:rsidRDefault="00530EFB" w:rsidP="00530E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EF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30EF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ЗАТВЕРДЖЕНО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530EFB" w:rsidRPr="00530EFB" w:rsidRDefault="00F61DC4" w:rsidP="00530E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Рішенням Загальних зборів</w:t>
      </w:r>
      <w:r w:rsidR="00530EFB" w:rsidRPr="00530E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EFB" w:rsidRPr="00530EFB" w:rsidRDefault="00530EFB" w:rsidP="00530E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ГО «</w:t>
      </w:r>
      <w:r w:rsidR="00F61DC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КОГОРТА</w:t>
      </w:r>
    </w:p>
    <w:p w:rsidR="00530EFB" w:rsidRPr="00530EFB" w:rsidRDefault="00530EFB" w:rsidP="00530E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61D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серп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ня </w:t>
      </w:r>
      <w:r w:rsidR="00F61DC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2020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р.</w:t>
      </w:r>
    </w:p>
    <w:p w:rsidR="00530EFB" w:rsidRPr="00530EFB" w:rsidRDefault="00F61DC4" w:rsidP="00530EF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№</w:t>
      </w:r>
    </w:p>
    <w:p w:rsidR="00530EFB" w:rsidRPr="00530EFB" w:rsidRDefault="00530EFB" w:rsidP="00530E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30EFB" w:rsidRPr="00530EFB" w:rsidRDefault="00530EFB" w:rsidP="00530E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ПОЛОЖЕННЯ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ЗАГАЛЬНІ ПОЛОЖЕННЯ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ГО «</w:t>
      </w:r>
      <w:r w:rsidR="00F61DC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КОГОРТА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»» (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відповідності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до Статуту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інших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чинного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Положення визначає політику Організації щодо визначення, виявлення, управління, запобігання та розкриття потенційних або дійсних конфліктів інтересів.</w:t>
      </w:r>
    </w:p>
    <w:p w:rsidR="00530EFB" w:rsidRPr="00530EFB" w:rsidRDefault="00530EFB" w:rsidP="00530E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Політика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направлена на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належного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регулювання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контролю над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процесом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виявлення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потенційними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та/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існуючими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конфліктами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встановлення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стандартів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є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обов’язковими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членів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Наглядової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ради,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408E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="000408E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директора, </w:t>
      </w:r>
      <w:proofErr w:type="spellStart"/>
      <w:r w:rsidR="000408E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членів</w:t>
      </w:r>
      <w:proofErr w:type="spellEnd"/>
      <w:r w:rsidR="000408E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530EFB" w:rsidRPr="00530EFB" w:rsidRDefault="00530EFB" w:rsidP="00530EF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Члени Правління</w:t>
      </w:r>
      <w:r w:rsidR="00181C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Виконавчий директор, члени Наглядової Ради, члени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працівники Організації зобов’язані уникати будь-яких ситуацій та дій, що можуть спричинити або загрожувати конфліктом інтересів, або можуть вплинути на неупередженість та незалежність при розгляді та прийнятті рішень на користь та в інтересах Організації.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ВИЗНАЧЕННЯ КОНФЛІКТУ ІНТЕРЕСІВ</w:t>
      </w:r>
    </w:p>
    <w:p w:rsidR="00530EFB" w:rsidRPr="00530EFB" w:rsidRDefault="00530EFB" w:rsidP="00530EFB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Конфлікт інтересів – суперечність між особистими інтересами особи та її службовими повноваженнями, наявність якої може вплинути на об'єктивність або неупередженість прийняття рішень, а також на вчинення чи не вчинення дій під час виконання наданих їй службових </w:t>
      </w:r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 представницьких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повноважень.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: </w:t>
      </w:r>
    </w:p>
    <w:p w:rsidR="00530EFB" w:rsidRPr="00530EFB" w:rsidRDefault="00B1586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Дійсний</w:t>
      </w:r>
      <w:proofErr w:type="spellEnd"/>
    </w:p>
    <w:p w:rsidR="00530EFB" w:rsidRDefault="00B1586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Можливий</w:t>
      </w:r>
      <w:proofErr w:type="spellEnd"/>
    </w:p>
    <w:p w:rsidR="00B1586B" w:rsidRPr="00530EFB" w:rsidRDefault="00B1586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Конфлікт інтересів існує за умов, що:</w:t>
      </w:r>
    </w:p>
    <w:p w:rsidR="00530EFB" w:rsidRPr="00530EFB" w:rsidRDefault="00530EFB" w:rsidP="00530EFB">
      <w:pPr>
        <w:spacing w:after="0" w:line="240" w:lineRule="auto"/>
        <w:ind w:left="-34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зовнішній інтерес впливає або може вплинути на судження або дії </w:t>
      </w:r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члена,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працівника</w:t>
      </w:r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Організації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ході його професійної діяльності;</w:t>
      </w:r>
    </w:p>
    <w:p w:rsidR="00530EFB" w:rsidRPr="00530EFB" w:rsidRDefault="00530EFB" w:rsidP="00530EFB">
      <w:pPr>
        <w:spacing w:after="0" w:line="240" w:lineRule="auto"/>
        <w:ind w:left="-345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приватні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інтер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еси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суперечать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здаються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такими,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суперечать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втручаються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будь-яким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чином в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Конфлікт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набувати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форм,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переважно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виникає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коли член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член </w:t>
      </w:r>
      <w:proofErr w:type="spellStart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Наглядово</w:t>
      </w:r>
      <w:proofErr w:type="gramStart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ї</w:t>
      </w:r>
      <w:proofErr w:type="spellEnd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</w:t>
      </w:r>
      <w:proofErr w:type="gramEnd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ади, </w:t>
      </w:r>
      <w:proofErr w:type="spellStart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Виконавчий</w:t>
      </w:r>
      <w:proofErr w:type="spellEnd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директор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працівник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впливати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таким чином,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призвести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прямих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опосередкованих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фінансових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прибутків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такої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особи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родини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ділових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партнерів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третіх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невідповідних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неналежних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переваг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третім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особам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шкодою </w:t>
      </w:r>
      <w:proofErr w:type="gram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для</w:t>
      </w:r>
      <w:proofErr w:type="gram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обов’язково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обмежу</w:t>
      </w:r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ється</w:t>
      </w:r>
      <w:proofErr w:type="spellEnd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фінансовими</w:t>
      </w:r>
      <w:proofErr w:type="spellEnd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можливостями</w:t>
      </w:r>
      <w:proofErr w:type="spellEnd"/>
      <w:r w:rsidR="00B158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/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перспективами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перевагами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він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спричинений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фінансовими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вигодами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грошовими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іншими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матеріальними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вигодами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) так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нефінансовими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вигодами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неможливо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оцінити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наприклад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репутаційний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іст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30EFB" w:rsidRPr="00530EFB" w:rsidRDefault="00530EFB" w:rsidP="00530EFB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ПРОЦЕДУРИ ЩОДО ВИЯВЛЕННЯ ТА РОЗКРИТТЯ ПОТЕНЦІЙНОГО АБО ІСНУЮЧОГО КОНФЛІКТУ ІНТЕРЕСІВ</w:t>
      </w:r>
    </w:p>
    <w:p w:rsidR="00530EFB" w:rsidRPr="002D2F3F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Члени Правління</w:t>
      </w:r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Наглядової Ради, Виконавчий директор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працівники Організації повинні своєчасно повідомляти про наявність у них потенційного або існуючого конфлікту інтересів стосовно будь-якого рішення, яке розглядається або планується до розгляду Організацією. 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Члени </w:t>
      </w:r>
      <w:proofErr w:type="spellStart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равлінн</w:t>
      </w:r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</w:t>
      </w:r>
      <w:proofErr w:type="spellEnd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повинні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завчасно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повідомити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можливий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Голову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</w:t>
      </w:r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равління</w:t>
      </w:r>
      <w:proofErr w:type="spellEnd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У свою </w:t>
      </w:r>
      <w:proofErr w:type="spellStart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чергу</w:t>
      </w:r>
      <w:proofErr w:type="spellEnd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Голова </w:t>
      </w:r>
      <w:proofErr w:type="spellStart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Виконавчий</w:t>
      </w:r>
      <w:proofErr w:type="spellEnd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директор </w:t>
      </w:r>
      <w:proofErr w:type="spellStart"/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повинні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повідомити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можливий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членів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членів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Наглядової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ради</w:t>
      </w:r>
      <w:proofErr w:type="gram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3.Голова Пр</w:t>
      </w:r>
      <w:r w:rsidR="002D2F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авління та Виконавчий директор Організації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зобов’язані повідомляти про будь-які наявні чи потенційні конфлікти інтересів або будь-яку причетність, яку вони можуть мати до дійсного чи потенційного контрагента, клієнта, постачальника товарів/послуг або про будь-які інші обставини, що можуть передбачати конкуренцію або суперечливі цілі їхніх особистих інтересів та інтересів Організації.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2D2F3F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</w:t>
      </w:r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равління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Виконавчий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директор не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самостійно</w:t>
      </w:r>
      <w:proofErr w:type="spellEnd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вирішити</w:t>
      </w:r>
      <w:proofErr w:type="spellEnd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,</w:t>
      </w:r>
      <w:r w:rsidR="002A2F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то </w:t>
      </w:r>
      <w:proofErr w:type="spellStart"/>
      <w:r w:rsidR="002A2F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звертаю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ться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</w:t>
      </w:r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аглядов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</w:t>
      </w:r>
      <w:proofErr w:type="gramEnd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ади як </w:t>
      </w:r>
      <w:proofErr w:type="spellStart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дорадчого</w:t>
      </w:r>
      <w:proofErr w:type="spellEnd"/>
      <w:r w:rsidR="00530EFB"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органу.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Здійснюючи свої повноваження працівники Організації зобов’язані діяти тільки у межах наданих їм повноважень та перед третіми особами поводитися так, щоб не зашкодити діловій репутації Організації та інших працівників.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EFB" w:rsidRPr="00530EFB" w:rsidRDefault="00530EFB" w:rsidP="00530EF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Члени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Виконавчий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иректор та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зобов’язані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Заявляти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будь-який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особистий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фінансовий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інший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впливати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ними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своїх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в тому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числі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володіння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родиною/членами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родини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близьким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другом/партнером)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частками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бізнесу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підприємств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30EFB" w:rsidRPr="00530EFB" w:rsidRDefault="00530EFB" w:rsidP="00530EFB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ПРОЦЕДУРИ ЗАПОБІГАННЯ КОНФЛІКТУ ІНТЕРЕСІВ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При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виникненні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працівник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повинен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письмово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повідомити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директора,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 той</w:t>
      </w:r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,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у свою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чергу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,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повинен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повід</w:t>
      </w:r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омити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початку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відповідного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2.Після повідомлення про можливий конфлікт інтересів Правління Організації розглядає ситуацію у найкоротший можливий термін </w:t>
      </w:r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зобов’язане прийняти рішення про вчинення даного правочину.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3.У разі недотримання вимог, передбачених цим розділом Положення, особа, заінтересована у вчиненні Організацією правочину, який може викликати конфлікт інтересів, несе відповідальність перед Організацією у розмірі завданих збитків або </w:t>
      </w:r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інші способи поновлення репутації.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Будь-якому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працівнику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члену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мав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повідомити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але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повідомив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чи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загрозу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виникнення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забезпечується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надати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пояснення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такого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неповідомлення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ВІДПОВІДАЛЬНІСТЬ</w:t>
      </w:r>
    </w:p>
    <w:p w:rsidR="00530EFB" w:rsidRPr="00530EFB" w:rsidRDefault="00530EFB" w:rsidP="00530EFB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Член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Виконавчий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иректор та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працівник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несе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порушення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до Статуту,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норм чинного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Контроль за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дотриманням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процесом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виявлення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потенційними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та/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існуючими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конфліктами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Правлінням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Зовнішній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контроль </w:t>
      </w:r>
      <w:proofErr w:type="spellStart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="006746E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Наглядовою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радою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6746E7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</w:t>
      </w: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746E7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Додаток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1.</w:t>
      </w:r>
      <w:r w:rsidRPr="00530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Зразок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заяви 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відсутність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6746E7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Виконавчий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директор</w:t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Домані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А.Є</w:t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В.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2A2FB3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Голова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</w:t>
      </w:r>
      <w:r w:rsidR="00674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равління</w:t>
      </w:r>
      <w:proofErr w:type="spellEnd"/>
      <w:r w:rsidR="00674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                              </w:t>
      </w:r>
      <w:r w:rsidR="00674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                  Лисенко Т.В</w:t>
      </w:r>
      <w:r w:rsidR="00530EFB"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Додаток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1.</w:t>
      </w: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Положення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ГО «</w:t>
      </w:r>
      <w:r w:rsidR="006746E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КОГОРТА</w:t>
      </w:r>
    </w:p>
    <w:p w:rsidR="00530EFB" w:rsidRPr="00530EFB" w:rsidRDefault="00530EFB" w:rsidP="00530EFB">
      <w:pPr>
        <w:spacing w:after="0" w:line="240" w:lineRule="auto"/>
        <w:ind w:left="735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Конфлікт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="00674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Рішення Загальних зборів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74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01.08.2020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(протокол №</w:t>
      </w:r>
      <w:r w:rsidRPr="00530EF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ЗАЯВА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відсутність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30EFB" w:rsidRPr="00530EFB" w:rsidRDefault="00530EFB" w:rsidP="00530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працівника</w:t>
      </w:r>
      <w:proofErr w:type="spellEnd"/>
      <w:r w:rsidRPr="00530E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ГО «</w:t>
      </w:r>
      <w:r w:rsidR="00674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КОГОРТА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Підтверджую відсутність конфлікту інтересів та обставин, які можуть перешкоджати належному виконанню мною посадових обов’язків та зобов’язуюсь діяти тільки у межах наданих мені повноважень таким чином, щоб перед третіми особами не зашкодити діловій репутації Організації та інших працівників.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___________________________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  <w:t xml:space="preserve"> _________________________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(ПІБ) 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  <w:t>(</w:t>
      </w:r>
      <w:proofErr w:type="spellStart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підпис</w:t>
      </w:r>
      <w:proofErr w:type="spellEnd"/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_________________</w:t>
      </w:r>
    </w:p>
    <w:p w:rsidR="00530EFB" w:rsidRPr="00530EFB" w:rsidRDefault="00530EFB" w:rsidP="00530EF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(дата)</w:t>
      </w:r>
    </w:p>
    <w:p w:rsidR="00530EFB" w:rsidRPr="00530EFB" w:rsidRDefault="00530EFB" w:rsidP="00530EF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30EFB" w:rsidRPr="00530EFB" w:rsidRDefault="00530EFB" w:rsidP="00530EF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 </w:t>
      </w:r>
    </w:p>
    <w:p w:rsidR="00530EFB" w:rsidRPr="00530EFB" w:rsidRDefault="00530EFB" w:rsidP="00530EF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30EF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</w:p>
    <w:p w:rsidR="00530EFB" w:rsidRPr="00530EFB" w:rsidRDefault="00530EFB" w:rsidP="00530EFB">
      <w:pPr>
        <w:spacing w:before="120" w:after="120" w:line="360" w:lineRule="auto"/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530EF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530EFB" w:rsidRPr="00530EFB" w:rsidRDefault="00530EFB" w:rsidP="00530EFB">
      <w:pPr>
        <w:spacing w:before="120" w:after="120" w:line="36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AC7" w:rsidRDefault="002A2FB3"/>
    <w:sectPr w:rsidR="00500AC7" w:rsidSect="008655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2096"/>
    <w:multiLevelType w:val="multilevel"/>
    <w:tmpl w:val="B5A06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F7A86"/>
    <w:multiLevelType w:val="multilevel"/>
    <w:tmpl w:val="6AFC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17529E"/>
    <w:multiLevelType w:val="multilevel"/>
    <w:tmpl w:val="905CC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FA0C12"/>
    <w:multiLevelType w:val="multilevel"/>
    <w:tmpl w:val="15801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917A2B"/>
    <w:multiLevelType w:val="multilevel"/>
    <w:tmpl w:val="94168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472139"/>
    <w:multiLevelType w:val="multilevel"/>
    <w:tmpl w:val="9564B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E94D62"/>
    <w:multiLevelType w:val="hybridMultilevel"/>
    <w:tmpl w:val="CDEA1C1A"/>
    <w:lvl w:ilvl="0" w:tplc="0419000F">
      <w:start w:val="1"/>
      <w:numFmt w:val="decimal"/>
      <w:lvlText w:val="%1."/>
      <w:lvlJc w:val="left"/>
      <w:pPr>
        <w:tabs>
          <w:tab w:val="num" w:pos="-15"/>
        </w:tabs>
        <w:ind w:left="-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4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5A7"/>
    <w:rsid w:val="000408EA"/>
    <w:rsid w:val="00181CA5"/>
    <w:rsid w:val="00256E35"/>
    <w:rsid w:val="002A2FB3"/>
    <w:rsid w:val="002D2F3F"/>
    <w:rsid w:val="00530EFB"/>
    <w:rsid w:val="005505A7"/>
    <w:rsid w:val="006746E7"/>
    <w:rsid w:val="00865573"/>
    <w:rsid w:val="00B1586B"/>
    <w:rsid w:val="00DA3AD5"/>
    <w:rsid w:val="00F6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2017-07-12T13:27:00Z</dcterms:created>
  <dcterms:modified xsi:type="dcterms:W3CDTF">2020-07-19T07:25:00Z</dcterms:modified>
</cp:coreProperties>
</file>